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C0FA0" w14:textId="77777777" w:rsidR="00EA6ABD" w:rsidRPr="00864324" w:rsidRDefault="00EA6ABD" w:rsidP="00EA6ABD">
      <w:pPr>
        <w:pStyle w:val="PlainText"/>
        <w:jc w:val="center"/>
        <w:rPr>
          <w:rFonts w:ascii="Times" w:hAnsi="Times"/>
          <w:i/>
          <w:sz w:val="36"/>
        </w:rPr>
      </w:pPr>
      <w:r w:rsidRPr="00864324">
        <w:rPr>
          <w:rFonts w:ascii="Times" w:hAnsi="Times"/>
          <w:i/>
          <w:sz w:val="36"/>
        </w:rPr>
        <w:t>LIGO Laboratory / LIGO Scientific Collaboration</w:t>
      </w:r>
    </w:p>
    <w:p w14:paraId="38403FFF" w14:textId="77777777" w:rsidR="00EA6ABD" w:rsidRPr="00864324" w:rsidRDefault="00EA6ABD" w:rsidP="00EA6ABD">
      <w:pPr>
        <w:pStyle w:val="PlainText"/>
        <w:rPr>
          <w:rFonts w:ascii="Times" w:hAnsi="Times"/>
          <w:sz w:val="36"/>
        </w:rPr>
      </w:pPr>
    </w:p>
    <w:p w14:paraId="13E3EF6F" w14:textId="2F74E1CE" w:rsidR="00EA6ABD" w:rsidRPr="00864324" w:rsidRDefault="00EA6ABD" w:rsidP="00EA6ABD">
      <w:pPr>
        <w:tabs>
          <w:tab w:val="center" w:pos="5040"/>
          <w:tab w:val="right" w:pos="9360"/>
        </w:tabs>
        <w:rPr>
          <w:rFonts w:ascii="Times" w:hAnsi="Times"/>
        </w:rPr>
      </w:pPr>
      <w:r w:rsidRPr="00864324">
        <w:rPr>
          <w:rFonts w:ascii="Times" w:eastAsia="Times New Roman" w:hAnsi="Times" w:cs="Arial"/>
          <w:b/>
          <w:bCs/>
          <w:sz w:val="32"/>
          <w:szCs w:val="32"/>
        </w:rPr>
        <w:t>LIGO-</w:t>
      </w:r>
      <w:r w:rsidRPr="00235A53">
        <w:t xml:space="preserve"> </w:t>
      </w:r>
      <w:r w:rsidRPr="00EA6ABD">
        <w:rPr>
          <w:rFonts w:ascii="Times" w:eastAsia="Times New Roman" w:hAnsi="Times" w:cs="Arial"/>
          <w:b/>
          <w:bCs/>
          <w:sz w:val="32"/>
          <w:szCs w:val="32"/>
        </w:rPr>
        <w:t>M2400206</w:t>
      </w:r>
      <w:r w:rsidRPr="00235A53">
        <w:rPr>
          <w:rFonts w:ascii="Times" w:eastAsia="Times New Roman" w:hAnsi="Times" w:cs="Arial"/>
          <w:b/>
          <w:bCs/>
          <w:sz w:val="32"/>
          <w:szCs w:val="32"/>
        </w:rPr>
        <w:t xml:space="preserve"> </w:t>
      </w:r>
      <w:r w:rsidRPr="00864324">
        <w:rPr>
          <w:rFonts w:ascii="Times" w:eastAsia="Times New Roman" w:hAnsi="Times" w:cs="Arial"/>
          <w:b/>
          <w:bCs/>
          <w:sz w:val="32"/>
          <w:szCs w:val="32"/>
        </w:rPr>
        <w:t>-</w:t>
      </w:r>
      <w:r>
        <w:rPr>
          <w:rFonts w:ascii="Times" w:eastAsia="Times New Roman" w:hAnsi="Times" w:cs="Arial"/>
          <w:b/>
          <w:bCs/>
          <w:sz w:val="32"/>
          <w:szCs w:val="32"/>
        </w:rPr>
        <w:t>v1</w:t>
      </w:r>
      <w:r w:rsidRPr="00864324">
        <w:rPr>
          <w:rFonts w:ascii="Times" w:hAnsi="Times"/>
        </w:rPr>
        <w:tab/>
      </w:r>
      <w:r w:rsidRPr="00864324">
        <w:rPr>
          <w:rFonts w:ascii="Times" w:hAnsi="Times"/>
          <w:i/>
          <w:color w:val="001AFA"/>
          <w:sz w:val="40"/>
        </w:rPr>
        <w:t>LIGO</w:t>
      </w:r>
      <w:r>
        <w:rPr>
          <w:rFonts w:ascii="Times" w:hAnsi="Times"/>
        </w:rPr>
        <w:tab/>
      </w:r>
      <w:r>
        <w:rPr>
          <w:rFonts w:ascii="Times" w:hAnsi="Times"/>
        </w:rPr>
        <w:t>7</w:t>
      </w:r>
      <w:r>
        <w:rPr>
          <w:rFonts w:ascii="Times" w:hAnsi="Times"/>
        </w:rPr>
        <w:t>/</w:t>
      </w:r>
      <w:r>
        <w:rPr>
          <w:rFonts w:ascii="Times" w:hAnsi="Times"/>
        </w:rPr>
        <w:t>1</w:t>
      </w:r>
      <w:r>
        <w:rPr>
          <w:rFonts w:ascii="Times" w:hAnsi="Times"/>
        </w:rPr>
        <w:t>/2023</w:t>
      </w:r>
    </w:p>
    <w:p w14:paraId="2A6527FA" w14:textId="77777777" w:rsidR="00EA6ABD" w:rsidRPr="00864324" w:rsidRDefault="00EA6ABD" w:rsidP="00EA6ABD">
      <w:pPr>
        <w:rPr>
          <w:rFonts w:ascii="Times" w:hAnsi="Times"/>
        </w:rPr>
      </w:pPr>
      <w:r w:rsidRPr="00864324">
        <w:rPr>
          <w:rFonts w:ascii="Times" w:hAnsi="Times"/>
          <w:noProof/>
        </w:rPr>
        <mc:AlternateContent>
          <mc:Choice Requires="wps">
            <w:drawing>
              <wp:inline distT="0" distB="0" distL="0" distR="0" wp14:anchorId="4017A9D2" wp14:editId="66DAB361">
                <wp:extent cx="6070600" cy="12700"/>
                <wp:effectExtent l="0" t="0" r="12700" b="12700"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0600" cy="12700"/>
                        </a:xfrm>
                        <a:prstGeom prst="rect">
                          <a:avLst/>
                        </a:prstGeom>
                        <a:solidFill>
                          <a:srgbClr val="808080">
                            <a:alpha val="99998"/>
                          </a:srgbClr>
                        </a:solidFill>
                        <a:ln w="12700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545A2" w14:textId="77777777" w:rsidR="00EA6ABD" w:rsidRDefault="00EA6ABD" w:rsidP="00EA6ABD">
                            <w:pPr>
                              <w:rPr>
                                <w:rFonts w:ascii="Times New Roman" w:eastAsia="Times New Roman" w:hAnsi="Times New Roman"/>
                                <w:sz w:val="20"/>
                              </w:rPr>
                            </w:pPr>
                          </w:p>
                          <w:p w14:paraId="6D1D1B0F" w14:textId="77777777" w:rsidR="00EA6ABD" w:rsidRDefault="00EA6ABD" w:rsidP="00EA6AB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17A9D2" id="Rectangle 5" o:spid="_x0000_s1026" style="width:478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" fillcolor="gray" strokecolor="white" strokeweight="1pt">
                <v:stroke opacity="0"/>
                <v:path arrowok="t"/>
                <v:textbox inset="0,0,0,0">
                  <w:txbxContent>
                    <w:p w14:paraId="0A1545A2" w14:textId="77777777" w:rsidR="00EA6ABD" w:rsidRDefault="00EA6ABD" w:rsidP="00EA6ABD">
                      <w:pPr>
                        <w:rPr>
                          <w:rFonts w:ascii="Times New Roman" w:eastAsia="Times New Roman" w:hAnsi="Times New Roman"/>
                          <w:sz w:val="20"/>
                        </w:rPr>
                      </w:pPr>
                    </w:p>
                    <w:p w14:paraId="6D1D1B0F" w14:textId="77777777" w:rsidR="00EA6ABD" w:rsidRDefault="00EA6ABD" w:rsidP="00EA6ABD"/>
                  </w:txbxContent>
                </v:textbox>
                <w10:anchorlock/>
              </v:rect>
            </w:pict>
          </mc:Fallback>
        </mc:AlternateContent>
      </w:r>
    </w:p>
    <w:p w14:paraId="05BB7392" w14:textId="77777777" w:rsidR="00EA6ABD" w:rsidRPr="00864324" w:rsidRDefault="00EA6ABD" w:rsidP="00EA6ABD">
      <w:pPr>
        <w:pStyle w:val="BodyText"/>
        <w:rPr>
          <w:rFonts w:ascii="Times" w:hAnsi="Times"/>
        </w:rPr>
      </w:pPr>
      <w:r w:rsidRPr="00864324">
        <w:rPr>
          <w:rFonts w:ascii="Times" w:hAnsi="Times"/>
        </w:rPr>
        <w:t xml:space="preserve">Standard Operating Procedure </w:t>
      </w:r>
    </w:p>
    <w:p w14:paraId="034D620A" w14:textId="181DBB11" w:rsidR="00EA6ABD" w:rsidRPr="00864324" w:rsidRDefault="00EA6ABD" w:rsidP="00EA6ABD">
      <w:pPr>
        <w:pStyle w:val="BodyText"/>
        <w:rPr>
          <w:rFonts w:ascii="Times" w:hAnsi="Times"/>
        </w:rPr>
      </w:pPr>
      <w:r w:rsidRPr="00864324">
        <w:rPr>
          <w:rFonts w:ascii="Times" w:hAnsi="Times"/>
        </w:rPr>
        <w:t xml:space="preserve">for the </w:t>
      </w:r>
      <w:bookmarkStart w:id="0" w:name="_Hlk142468304"/>
      <w:r>
        <w:rPr>
          <w:rFonts w:ascii="Times" w:hAnsi="Times"/>
        </w:rPr>
        <w:t xml:space="preserve">45mW, </w:t>
      </w:r>
      <w:r w:rsidR="002E06C2">
        <w:rPr>
          <w:rFonts w:ascii="Times" w:hAnsi="Times"/>
        </w:rPr>
        <w:t>780</w:t>
      </w:r>
      <w:r>
        <w:rPr>
          <w:rFonts w:ascii="Times" w:hAnsi="Times"/>
        </w:rPr>
        <w:t xml:space="preserve">nm Thorlabs </w:t>
      </w:r>
      <w:r w:rsidR="002E06C2">
        <w:rPr>
          <w:rFonts w:ascii="Times" w:hAnsi="Times"/>
        </w:rPr>
        <w:t>Laser</w:t>
      </w:r>
      <w:r>
        <w:rPr>
          <w:rFonts w:ascii="Times" w:hAnsi="Times"/>
        </w:rPr>
        <w:br/>
      </w:r>
      <w:r w:rsidRPr="00864324">
        <w:rPr>
          <w:rFonts w:ascii="Times" w:hAnsi="Times"/>
        </w:rPr>
        <w:t xml:space="preserve">in </w:t>
      </w:r>
      <w:r>
        <w:rPr>
          <w:rFonts w:ascii="Times" w:hAnsi="Times"/>
        </w:rPr>
        <w:t>West Bridge B102</w:t>
      </w:r>
      <w:bookmarkEnd w:id="0"/>
    </w:p>
    <w:p w14:paraId="4AB6BD60" w14:textId="77777777" w:rsidR="00EA6ABD" w:rsidRPr="00864324" w:rsidRDefault="00EA6ABD" w:rsidP="00EA6ABD">
      <w:pPr>
        <w:rPr>
          <w:rFonts w:ascii="Times" w:hAnsi="Times"/>
        </w:rPr>
      </w:pPr>
      <w:r w:rsidRPr="00864324">
        <w:rPr>
          <w:rFonts w:ascii="Times" w:hAnsi="Times"/>
          <w:noProof/>
        </w:rPr>
        <mc:AlternateContent>
          <mc:Choice Requires="wps">
            <w:drawing>
              <wp:inline distT="0" distB="0" distL="0" distR="0" wp14:anchorId="6F208520" wp14:editId="4DA00440">
                <wp:extent cx="6070600" cy="12700"/>
                <wp:effectExtent l="0" t="0" r="12700" b="12700"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0600" cy="12700"/>
                        </a:xfrm>
                        <a:prstGeom prst="rect">
                          <a:avLst/>
                        </a:prstGeom>
                        <a:solidFill>
                          <a:srgbClr val="808080">
                            <a:alpha val="99998"/>
                          </a:srgbClr>
                        </a:solidFill>
                        <a:ln w="12700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E52DF" w14:textId="77777777" w:rsidR="00EA6ABD" w:rsidRDefault="00EA6ABD" w:rsidP="00EA6ABD">
                            <w:pPr>
                              <w:rPr>
                                <w:rFonts w:ascii="Times New Roman" w:eastAsia="Times New Roman" w:hAnsi="Times New Roman"/>
                                <w:sz w:val="20"/>
                              </w:rPr>
                            </w:pPr>
                          </w:p>
                          <w:p w14:paraId="236DDED3" w14:textId="77777777" w:rsidR="00EA6ABD" w:rsidRDefault="00EA6ABD" w:rsidP="00EA6AB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208520" id="Rectangle 4" o:spid="_x0000_s1027" style="width:478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" fillcolor="gray" strokecolor="white" strokeweight="1pt">
                <v:stroke opacity="0"/>
                <v:path arrowok="t"/>
                <v:textbox inset="0,0,0,0">
                  <w:txbxContent>
                    <w:p w14:paraId="006E52DF" w14:textId="77777777" w:rsidR="00EA6ABD" w:rsidRDefault="00EA6ABD" w:rsidP="00EA6ABD">
                      <w:pPr>
                        <w:rPr>
                          <w:rFonts w:ascii="Times New Roman" w:eastAsia="Times New Roman" w:hAnsi="Times New Roman"/>
                          <w:sz w:val="20"/>
                        </w:rPr>
                      </w:pPr>
                    </w:p>
                    <w:p w14:paraId="236DDED3" w14:textId="77777777" w:rsidR="00EA6ABD" w:rsidRDefault="00EA6ABD" w:rsidP="00EA6ABD"/>
                  </w:txbxContent>
                </v:textbox>
                <w10:anchorlock/>
              </v:rect>
            </w:pict>
          </mc:Fallback>
        </mc:AlternateContent>
      </w:r>
    </w:p>
    <w:p w14:paraId="5F8BD801" w14:textId="77777777" w:rsidR="00EA6ABD" w:rsidRPr="00864324" w:rsidRDefault="00EA6ABD" w:rsidP="00EA6ABD">
      <w:pPr>
        <w:jc w:val="center"/>
        <w:rPr>
          <w:rFonts w:ascii="Times" w:hAnsi="Times"/>
        </w:rPr>
      </w:pPr>
      <w:r>
        <w:rPr>
          <w:rFonts w:ascii="Times" w:hAnsi="Times"/>
        </w:rPr>
        <w:t>Torrey Cullen and Lee McCuller</w:t>
      </w:r>
    </w:p>
    <w:p w14:paraId="12EA7DD3" w14:textId="77777777" w:rsidR="00EA6ABD" w:rsidRPr="00864324" w:rsidRDefault="00EA6ABD" w:rsidP="00EA6ABD">
      <w:pPr>
        <w:pStyle w:val="PlainText"/>
        <w:spacing w:before="0"/>
        <w:jc w:val="center"/>
        <w:rPr>
          <w:rFonts w:ascii="Times" w:hAnsi="Times"/>
        </w:rPr>
      </w:pPr>
    </w:p>
    <w:p w14:paraId="48E9CADD" w14:textId="77777777" w:rsidR="00EA6ABD" w:rsidRPr="00864324" w:rsidRDefault="00EA6ABD" w:rsidP="00EA6ABD">
      <w:pPr>
        <w:pStyle w:val="PlainText"/>
        <w:spacing w:before="0"/>
        <w:jc w:val="center"/>
        <w:rPr>
          <w:rFonts w:ascii="Times" w:hAnsi="Times"/>
        </w:rPr>
      </w:pPr>
      <w:r w:rsidRPr="00864324">
        <w:rPr>
          <w:rFonts w:ascii="Times" w:hAnsi="Times"/>
        </w:rPr>
        <w:t>Distribution of this document:</w:t>
      </w:r>
    </w:p>
    <w:p w14:paraId="4C185780" w14:textId="77777777" w:rsidR="00EA6ABD" w:rsidRPr="00864324" w:rsidRDefault="00EA6ABD" w:rsidP="00EA6ABD">
      <w:pPr>
        <w:pStyle w:val="PlainText"/>
        <w:spacing w:before="0"/>
        <w:jc w:val="center"/>
        <w:rPr>
          <w:rFonts w:ascii="Times" w:hAnsi="Times"/>
        </w:rPr>
      </w:pPr>
      <w:r w:rsidRPr="00864324">
        <w:rPr>
          <w:rFonts w:ascii="Times" w:hAnsi="Times"/>
        </w:rPr>
        <w:t>Lasers and Optics</w:t>
      </w:r>
    </w:p>
    <w:p w14:paraId="5CE1B3D2" w14:textId="77777777" w:rsidR="00EA6ABD" w:rsidRPr="00864324" w:rsidRDefault="00EA6ABD" w:rsidP="00EA6ABD">
      <w:pPr>
        <w:pStyle w:val="PlainText"/>
        <w:spacing w:before="0"/>
        <w:jc w:val="center"/>
        <w:rPr>
          <w:rFonts w:ascii="Times" w:hAnsi="Times"/>
        </w:rPr>
      </w:pPr>
    </w:p>
    <w:p w14:paraId="59BC75D3" w14:textId="77777777" w:rsidR="00EA6ABD" w:rsidRPr="00864324" w:rsidRDefault="00EA6ABD" w:rsidP="00EA6ABD">
      <w:pPr>
        <w:pStyle w:val="PlainText"/>
        <w:spacing w:before="0"/>
        <w:jc w:val="center"/>
        <w:rPr>
          <w:rFonts w:ascii="Times" w:hAnsi="Times"/>
        </w:rPr>
      </w:pPr>
      <w:r w:rsidRPr="00864324">
        <w:rPr>
          <w:rFonts w:ascii="Times" w:hAnsi="Times"/>
        </w:rPr>
        <w:t xml:space="preserve">This is an internal working </w:t>
      </w:r>
      <w:proofErr w:type="gramStart"/>
      <w:r w:rsidRPr="00864324">
        <w:rPr>
          <w:rFonts w:ascii="Times" w:hAnsi="Times"/>
        </w:rPr>
        <w:t>note</w:t>
      </w:r>
      <w:proofErr w:type="gramEnd"/>
    </w:p>
    <w:p w14:paraId="2E010721" w14:textId="77777777" w:rsidR="00EA6ABD" w:rsidRPr="00864324" w:rsidRDefault="00EA6ABD" w:rsidP="00EA6ABD">
      <w:pPr>
        <w:pStyle w:val="PlainText"/>
        <w:spacing w:before="0"/>
        <w:jc w:val="center"/>
        <w:rPr>
          <w:rFonts w:ascii="Times" w:hAnsi="Times"/>
        </w:rPr>
      </w:pPr>
      <w:r w:rsidRPr="00864324">
        <w:rPr>
          <w:rFonts w:ascii="Times" w:hAnsi="Times"/>
        </w:rPr>
        <w:t>of the LIGO Project.</w:t>
      </w:r>
      <w:r>
        <w:rPr>
          <w:rFonts w:ascii="Times" w:hAnsi="Times"/>
        </w:rPr>
        <w:br/>
      </w:r>
    </w:p>
    <w:p w14:paraId="787B50E8" w14:textId="77777777" w:rsidR="00EA6ABD" w:rsidRPr="00864324" w:rsidRDefault="00EA6ABD" w:rsidP="00EA6ABD">
      <w:pPr>
        <w:pStyle w:val="PlainText"/>
        <w:spacing w:before="0"/>
        <w:rPr>
          <w:rFonts w:ascii="Times" w:hAnsi="Times"/>
        </w:rPr>
      </w:pPr>
    </w:p>
    <w:tbl>
      <w:tblPr>
        <w:tblW w:w="9568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4784"/>
        <w:gridCol w:w="4784"/>
      </w:tblGrid>
      <w:tr w:rsidR="00EA6ABD" w:rsidRPr="00864324" w14:paraId="50530C1A" w14:textId="77777777" w:rsidTr="00B011BF">
        <w:trPr>
          <w:cantSplit/>
          <w:trHeight w:val="1920"/>
        </w:trPr>
        <w:tc>
          <w:tcPr>
            <w:tcW w:w="4784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</w:tcPr>
          <w:p w14:paraId="2DDBBEE8" w14:textId="77777777" w:rsidR="00EA6ABD" w:rsidRPr="00864324" w:rsidRDefault="00EA6ABD" w:rsidP="00B011BF">
            <w:pPr>
              <w:pStyle w:val="PlainText"/>
              <w:spacing w:before="0"/>
              <w:jc w:val="center"/>
              <w:rPr>
                <w:rFonts w:ascii="Times" w:hAnsi="Times"/>
                <w:b/>
                <w:color w:val="808080"/>
              </w:rPr>
            </w:pPr>
            <w:r w:rsidRPr="00864324">
              <w:rPr>
                <w:rFonts w:ascii="Times" w:hAnsi="Times"/>
                <w:b/>
                <w:color w:val="808080"/>
              </w:rPr>
              <w:t>California Institute of Technology</w:t>
            </w:r>
          </w:p>
          <w:p w14:paraId="6237900A" w14:textId="77777777" w:rsidR="00EA6ABD" w:rsidRPr="00864324" w:rsidRDefault="00EA6ABD" w:rsidP="00B011BF">
            <w:pPr>
              <w:pStyle w:val="PlainText"/>
              <w:spacing w:before="0"/>
              <w:jc w:val="center"/>
              <w:rPr>
                <w:rFonts w:ascii="Times" w:hAnsi="Times"/>
                <w:b/>
                <w:color w:val="808080"/>
              </w:rPr>
            </w:pPr>
            <w:r w:rsidRPr="00864324">
              <w:rPr>
                <w:rFonts w:ascii="Times" w:hAnsi="Times"/>
                <w:b/>
                <w:color w:val="808080"/>
              </w:rPr>
              <w:t>LIGO Project – MS 100-36</w:t>
            </w:r>
          </w:p>
          <w:p w14:paraId="089DAD99" w14:textId="77777777" w:rsidR="00EA6ABD" w:rsidRPr="00864324" w:rsidRDefault="00EA6ABD" w:rsidP="00B011BF">
            <w:pPr>
              <w:pStyle w:val="PlainText"/>
              <w:spacing w:before="0"/>
              <w:jc w:val="center"/>
              <w:rPr>
                <w:rFonts w:ascii="Times" w:hAnsi="Times"/>
                <w:b/>
                <w:color w:val="808080"/>
              </w:rPr>
            </w:pPr>
            <w:r w:rsidRPr="00864324">
              <w:rPr>
                <w:rFonts w:ascii="Times" w:hAnsi="Times"/>
                <w:b/>
                <w:color w:val="808080"/>
              </w:rPr>
              <w:t>1200 E. California Blvd.</w:t>
            </w:r>
          </w:p>
          <w:p w14:paraId="24197185" w14:textId="77777777" w:rsidR="00EA6ABD" w:rsidRPr="00864324" w:rsidRDefault="00EA6ABD" w:rsidP="00B011BF">
            <w:pPr>
              <w:pStyle w:val="PlainText"/>
              <w:spacing w:before="0"/>
              <w:jc w:val="center"/>
              <w:rPr>
                <w:rFonts w:ascii="Times" w:hAnsi="Times"/>
                <w:b/>
                <w:color w:val="808080"/>
              </w:rPr>
            </w:pPr>
            <w:r w:rsidRPr="00864324">
              <w:rPr>
                <w:rFonts w:ascii="Times" w:hAnsi="Times"/>
                <w:b/>
                <w:color w:val="808080"/>
              </w:rPr>
              <w:t>Pasadena, CA 91125</w:t>
            </w:r>
          </w:p>
          <w:p w14:paraId="7F24B1DC" w14:textId="77777777" w:rsidR="00EA6ABD" w:rsidRPr="00864324" w:rsidRDefault="00EA6ABD" w:rsidP="00B011BF">
            <w:pPr>
              <w:pStyle w:val="PlainText"/>
              <w:spacing w:before="0"/>
              <w:jc w:val="center"/>
              <w:rPr>
                <w:rFonts w:ascii="Times" w:hAnsi="Times"/>
                <w:color w:val="808080"/>
              </w:rPr>
            </w:pPr>
            <w:r w:rsidRPr="00864324">
              <w:rPr>
                <w:rFonts w:ascii="Times" w:hAnsi="Times"/>
                <w:color w:val="808080"/>
              </w:rPr>
              <w:t>Phone (626) 395-2129</w:t>
            </w:r>
          </w:p>
          <w:p w14:paraId="3DC84E1E" w14:textId="77777777" w:rsidR="00EA6ABD" w:rsidRPr="00864324" w:rsidRDefault="00EA6ABD" w:rsidP="00B011BF">
            <w:pPr>
              <w:pStyle w:val="PlainText"/>
              <w:spacing w:before="0"/>
              <w:jc w:val="center"/>
              <w:rPr>
                <w:rFonts w:ascii="Times" w:hAnsi="Times"/>
                <w:color w:val="808080"/>
              </w:rPr>
            </w:pPr>
            <w:r w:rsidRPr="00864324">
              <w:rPr>
                <w:rFonts w:ascii="Times" w:hAnsi="Times"/>
                <w:color w:val="808080"/>
              </w:rPr>
              <w:t>Fax (626) 304-9834</w:t>
            </w:r>
          </w:p>
          <w:p w14:paraId="48699EDA" w14:textId="77777777" w:rsidR="00EA6ABD" w:rsidRPr="00864324" w:rsidRDefault="00EA6ABD" w:rsidP="00B011BF">
            <w:pPr>
              <w:pStyle w:val="PlainText"/>
              <w:spacing w:before="0"/>
              <w:jc w:val="center"/>
              <w:rPr>
                <w:rFonts w:ascii="Times" w:hAnsi="Times"/>
                <w:color w:val="808080"/>
              </w:rPr>
            </w:pPr>
            <w:r w:rsidRPr="00864324">
              <w:rPr>
                <w:rFonts w:ascii="Times" w:hAnsi="Times"/>
                <w:color w:val="808080"/>
              </w:rPr>
              <w:t>E-mail: info@ligo.caltech.edu</w:t>
            </w:r>
          </w:p>
        </w:tc>
        <w:tc>
          <w:tcPr>
            <w:tcW w:w="4784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</w:tcPr>
          <w:p w14:paraId="16FFF5C0" w14:textId="77777777" w:rsidR="00EA6ABD" w:rsidRPr="00864324" w:rsidRDefault="00EA6ABD" w:rsidP="00B011BF">
            <w:pPr>
              <w:pStyle w:val="PlainText"/>
              <w:spacing w:before="0"/>
              <w:jc w:val="center"/>
              <w:rPr>
                <w:rFonts w:ascii="Times" w:hAnsi="Times"/>
                <w:b/>
                <w:color w:val="808080"/>
              </w:rPr>
            </w:pPr>
            <w:r w:rsidRPr="00864324">
              <w:rPr>
                <w:rFonts w:ascii="Times" w:hAnsi="Times"/>
                <w:b/>
                <w:color w:val="808080"/>
              </w:rPr>
              <w:t>Massachusetts Institute of Technology</w:t>
            </w:r>
          </w:p>
          <w:p w14:paraId="74839772" w14:textId="77777777" w:rsidR="00EA6ABD" w:rsidRPr="00864324" w:rsidRDefault="00EA6ABD" w:rsidP="00B011BF">
            <w:pPr>
              <w:pStyle w:val="PlainText"/>
              <w:spacing w:before="0"/>
              <w:jc w:val="center"/>
              <w:rPr>
                <w:rFonts w:ascii="Times" w:hAnsi="Times"/>
                <w:b/>
                <w:color w:val="808080"/>
              </w:rPr>
            </w:pPr>
            <w:r w:rsidRPr="00864324">
              <w:rPr>
                <w:rFonts w:ascii="Times" w:hAnsi="Times"/>
                <w:b/>
                <w:color w:val="808080"/>
              </w:rPr>
              <w:t>LIGO Project – NW22-295</w:t>
            </w:r>
          </w:p>
          <w:p w14:paraId="7755E24D" w14:textId="77777777" w:rsidR="00EA6ABD" w:rsidRPr="00864324" w:rsidRDefault="00EA6ABD" w:rsidP="00B011BF">
            <w:pPr>
              <w:pStyle w:val="PlainText"/>
              <w:spacing w:before="0"/>
              <w:jc w:val="center"/>
              <w:rPr>
                <w:rFonts w:ascii="Times" w:hAnsi="Times"/>
                <w:b/>
                <w:color w:val="808080"/>
              </w:rPr>
            </w:pPr>
            <w:r w:rsidRPr="00864324">
              <w:rPr>
                <w:rFonts w:ascii="Times" w:hAnsi="Times"/>
                <w:b/>
                <w:color w:val="808080"/>
              </w:rPr>
              <w:t>Cambridge, MA 02139</w:t>
            </w:r>
          </w:p>
          <w:p w14:paraId="34D7A7C6" w14:textId="77777777" w:rsidR="00EA6ABD" w:rsidRPr="00864324" w:rsidRDefault="00EA6ABD" w:rsidP="00B011BF">
            <w:pPr>
              <w:pStyle w:val="PlainText"/>
              <w:spacing w:before="0"/>
              <w:jc w:val="center"/>
              <w:rPr>
                <w:rFonts w:ascii="Times" w:hAnsi="Times"/>
                <w:color w:val="808080"/>
              </w:rPr>
            </w:pPr>
            <w:r w:rsidRPr="00864324">
              <w:rPr>
                <w:rFonts w:ascii="Times" w:hAnsi="Times"/>
                <w:color w:val="808080"/>
              </w:rPr>
              <w:t>Phone (617) 253-4824</w:t>
            </w:r>
          </w:p>
          <w:p w14:paraId="504C1DE3" w14:textId="77777777" w:rsidR="00EA6ABD" w:rsidRPr="00864324" w:rsidRDefault="00EA6ABD" w:rsidP="00B011BF">
            <w:pPr>
              <w:pStyle w:val="PlainText"/>
              <w:spacing w:before="0"/>
              <w:jc w:val="center"/>
              <w:rPr>
                <w:rFonts w:ascii="Times" w:hAnsi="Times"/>
                <w:color w:val="808080"/>
              </w:rPr>
            </w:pPr>
            <w:r w:rsidRPr="00864324">
              <w:rPr>
                <w:rFonts w:ascii="Times" w:hAnsi="Times"/>
                <w:color w:val="808080"/>
              </w:rPr>
              <w:t>Fax (617) 253-7014</w:t>
            </w:r>
          </w:p>
          <w:p w14:paraId="132367D5" w14:textId="77777777" w:rsidR="00EA6ABD" w:rsidRPr="00864324" w:rsidRDefault="00EA6ABD" w:rsidP="00B011BF">
            <w:pPr>
              <w:pStyle w:val="PlainText"/>
              <w:spacing w:before="0"/>
              <w:jc w:val="center"/>
              <w:rPr>
                <w:rFonts w:ascii="Times" w:hAnsi="Times"/>
                <w:color w:val="808080"/>
              </w:rPr>
            </w:pPr>
            <w:r w:rsidRPr="00864324">
              <w:rPr>
                <w:rFonts w:ascii="Times" w:hAnsi="Times"/>
                <w:color w:val="808080"/>
              </w:rPr>
              <w:t>E-mail: info@ligo.mit.edu</w:t>
            </w:r>
          </w:p>
        </w:tc>
      </w:tr>
      <w:tr w:rsidR="00EA6ABD" w:rsidRPr="00864324" w14:paraId="2363763C" w14:textId="77777777" w:rsidTr="00B011BF">
        <w:trPr>
          <w:cantSplit/>
          <w:trHeight w:val="1920"/>
        </w:trPr>
        <w:tc>
          <w:tcPr>
            <w:tcW w:w="4784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</w:tcPr>
          <w:p w14:paraId="1D04245A" w14:textId="77777777" w:rsidR="00EA6ABD" w:rsidRPr="00864324" w:rsidRDefault="00EA6ABD" w:rsidP="00B011BF">
            <w:pPr>
              <w:pStyle w:val="PlainText"/>
              <w:spacing w:before="0"/>
              <w:jc w:val="center"/>
              <w:rPr>
                <w:rFonts w:ascii="Times" w:hAnsi="Times"/>
                <w:b/>
                <w:color w:val="808080"/>
              </w:rPr>
            </w:pPr>
          </w:p>
          <w:p w14:paraId="42F3618B" w14:textId="77777777" w:rsidR="00EA6ABD" w:rsidRPr="00864324" w:rsidRDefault="00EA6ABD" w:rsidP="00B011BF">
            <w:pPr>
              <w:pStyle w:val="PlainText"/>
              <w:spacing w:before="0"/>
              <w:jc w:val="center"/>
              <w:rPr>
                <w:rFonts w:ascii="Times" w:hAnsi="Times"/>
                <w:b/>
                <w:color w:val="808080"/>
              </w:rPr>
            </w:pPr>
            <w:r w:rsidRPr="00864324">
              <w:rPr>
                <w:rFonts w:ascii="Times" w:hAnsi="Times"/>
                <w:b/>
                <w:color w:val="808080"/>
              </w:rPr>
              <w:t>LIGO Hanford Observatory</w:t>
            </w:r>
          </w:p>
          <w:p w14:paraId="0DF1EAF7" w14:textId="77777777" w:rsidR="00EA6ABD" w:rsidRPr="00864324" w:rsidRDefault="00EA6ABD" w:rsidP="00B011BF">
            <w:pPr>
              <w:pStyle w:val="PlainText"/>
              <w:spacing w:before="0"/>
              <w:jc w:val="center"/>
              <w:rPr>
                <w:rFonts w:ascii="Times" w:hAnsi="Times"/>
                <w:b/>
                <w:color w:val="808080"/>
              </w:rPr>
            </w:pPr>
            <w:r w:rsidRPr="00864324">
              <w:rPr>
                <w:rFonts w:ascii="Times" w:hAnsi="Times"/>
                <w:b/>
                <w:color w:val="808080"/>
              </w:rPr>
              <w:t>P.O. Box 159</w:t>
            </w:r>
          </w:p>
          <w:p w14:paraId="14CFB490" w14:textId="77777777" w:rsidR="00EA6ABD" w:rsidRPr="00864324" w:rsidRDefault="00EA6ABD" w:rsidP="00B011BF">
            <w:pPr>
              <w:pStyle w:val="PlainText"/>
              <w:spacing w:before="0"/>
              <w:jc w:val="center"/>
              <w:rPr>
                <w:rFonts w:ascii="Times" w:hAnsi="Times"/>
                <w:b/>
                <w:color w:val="808080"/>
              </w:rPr>
            </w:pPr>
            <w:r w:rsidRPr="00864324">
              <w:rPr>
                <w:rFonts w:ascii="Times" w:hAnsi="Times"/>
                <w:b/>
                <w:color w:val="808080"/>
              </w:rPr>
              <w:t>Richland WA 99352</w:t>
            </w:r>
          </w:p>
          <w:p w14:paraId="7F4EBFF1" w14:textId="77777777" w:rsidR="00EA6ABD" w:rsidRPr="00864324" w:rsidRDefault="00EA6ABD" w:rsidP="00B011BF">
            <w:pPr>
              <w:pStyle w:val="PlainText"/>
              <w:spacing w:before="0"/>
              <w:jc w:val="center"/>
              <w:rPr>
                <w:rFonts w:ascii="Times" w:hAnsi="Times"/>
                <w:color w:val="808080"/>
              </w:rPr>
            </w:pPr>
            <w:r w:rsidRPr="00864324">
              <w:rPr>
                <w:rFonts w:ascii="Times" w:hAnsi="Times"/>
                <w:color w:val="808080"/>
              </w:rPr>
              <w:t>Phone 509-372-8106</w:t>
            </w:r>
          </w:p>
          <w:p w14:paraId="0B267345" w14:textId="77777777" w:rsidR="00EA6ABD" w:rsidRPr="00864324" w:rsidRDefault="00EA6ABD" w:rsidP="00B011BF">
            <w:pPr>
              <w:pStyle w:val="PlainText"/>
              <w:spacing w:before="0"/>
              <w:jc w:val="center"/>
              <w:rPr>
                <w:rFonts w:ascii="Times" w:hAnsi="Times"/>
                <w:color w:val="808080"/>
              </w:rPr>
            </w:pPr>
            <w:r w:rsidRPr="00864324">
              <w:rPr>
                <w:rFonts w:ascii="Times" w:hAnsi="Times"/>
                <w:color w:val="808080"/>
              </w:rPr>
              <w:t>Fax 509-372-8137</w:t>
            </w:r>
          </w:p>
        </w:tc>
        <w:tc>
          <w:tcPr>
            <w:tcW w:w="4784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</w:tcPr>
          <w:p w14:paraId="5D20D523" w14:textId="77777777" w:rsidR="00EA6ABD" w:rsidRPr="00864324" w:rsidRDefault="00EA6ABD" w:rsidP="00B011BF">
            <w:pPr>
              <w:pStyle w:val="PlainText"/>
              <w:spacing w:before="0"/>
              <w:jc w:val="center"/>
              <w:rPr>
                <w:rFonts w:ascii="Times" w:hAnsi="Times"/>
                <w:b/>
                <w:color w:val="808080"/>
              </w:rPr>
            </w:pPr>
          </w:p>
          <w:p w14:paraId="4F9D8CF6" w14:textId="77777777" w:rsidR="00EA6ABD" w:rsidRPr="00864324" w:rsidRDefault="00EA6ABD" w:rsidP="00B011BF">
            <w:pPr>
              <w:pStyle w:val="PlainText"/>
              <w:spacing w:before="0"/>
              <w:jc w:val="center"/>
              <w:rPr>
                <w:rFonts w:ascii="Times" w:hAnsi="Times"/>
                <w:b/>
                <w:color w:val="808080"/>
              </w:rPr>
            </w:pPr>
            <w:r w:rsidRPr="00864324">
              <w:rPr>
                <w:rFonts w:ascii="Times" w:hAnsi="Times"/>
                <w:b/>
                <w:color w:val="808080"/>
              </w:rPr>
              <w:t>LIGO Livingston Observatory</w:t>
            </w:r>
          </w:p>
          <w:p w14:paraId="6A358CC3" w14:textId="77777777" w:rsidR="00EA6ABD" w:rsidRPr="00864324" w:rsidRDefault="00EA6ABD" w:rsidP="00B011BF">
            <w:pPr>
              <w:pStyle w:val="PlainText"/>
              <w:spacing w:before="0"/>
              <w:jc w:val="center"/>
              <w:rPr>
                <w:rFonts w:ascii="Times" w:hAnsi="Times"/>
                <w:b/>
                <w:color w:val="808080"/>
              </w:rPr>
            </w:pPr>
            <w:r w:rsidRPr="00864324">
              <w:rPr>
                <w:rFonts w:ascii="Times" w:hAnsi="Times"/>
                <w:b/>
                <w:color w:val="808080"/>
              </w:rPr>
              <w:t>P.O. Box 940</w:t>
            </w:r>
          </w:p>
          <w:p w14:paraId="2365F50D" w14:textId="77777777" w:rsidR="00EA6ABD" w:rsidRPr="00864324" w:rsidRDefault="00EA6ABD" w:rsidP="00B011BF">
            <w:pPr>
              <w:pStyle w:val="PlainText"/>
              <w:spacing w:before="0"/>
              <w:jc w:val="center"/>
              <w:rPr>
                <w:rFonts w:ascii="Times" w:hAnsi="Times"/>
                <w:b/>
                <w:color w:val="808080"/>
              </w:rPr>
            </w:pPr>
            <w:r>
              <w:rPr>
                <w:rFonts w:ascii="Times" w:hAnsi="Times"/>
                <w:b/>
                <w:color w:val="808080"/>
              </w:rPr>
              <w:t xml:space="preserve">Livingston, LA </w:t>
            </w:r>
            <w:r w:rsidRPr="00864324">
              <w:rPr>
                <w:rFonts w:ascii="Times" w:hAnsi="Times"/>
                <w:b/>
                <w:color w:val="808080"/>
              </w:rPr>
              <w:t>70754</w:t>
            </w:r>
          </w:p>
          <w:p w14:paraId="1976AFE5" w14:textId="77777777" w:rsidR="00EA6ABD" w:rsidRPr="00864324" w:rsidRDefault="00EA6ABD" w:rsidP="00B011BF">
            <w:pPr>
              <w:pStyle w:val="PlainText"/>
              <w:spacing w:before="0"/>
              <w:jc w:val="center"/>
              <w:rPr>
                <w:rFonts w:ascii="Times" w:hAnsi="Times"/>
                <w:color w:val="808080"/>
              </w:rPr>
            </w:pPr>
            <w:r w:rsidRPr="00864324">
              <w:rPr>
                <w:rFonts w:ascii="Times" w:hAnsi="Times"/>
                <w:color w:val="808080"/>
              </w:rPr>
              <w:t>Phone 225-686-3100</w:t>
            </w:r>
          </w:p>
          <w:p w14:paraId="79469232" w14:textId="77777777" w:rsidR="00EA6ABD" w:rsidRPr="00864324" w:rsidRDefault="00EA6ABD" w:rsidP="00B011BF">
            <w:pPr>
              <w:pStyle w:val="PlainText"/>
              <w:spacing w:before="0"/>
              <w:jc w:val="center"/>
              <w:rPr>
                <w:rFonts w:ascii="Times" w:hAnsi="Times"/>
                <w:color w:val="808080"/>
              </w:rPr>
            </w:pPr>
            <w:r w:rsidRPr="00864324">
              <w:rPr>
                <w:rFonts w:ascii="Times" w:hAnsi="Times"/>
                <w:color w:val="808080"/>
              </w:rPr>
              <w:t>Fax 225-686-7189</w:t>
            </w:r>
          </w:p>
        </w:tc>
      </w:tr>
    </w:tbl>
    <w:p w14:paraId="39BBAF31" w14:textId="77777777" w:rsidR="00EA6ABD" w:rsidRPr="00864324" w:rsidRDefault="00EA6ABD" w:rsidP="00EA6ABD">
      <w:pPr>
        <w:pStyle w:val="PlainText"/>
        <w:rPr>
          <w:rFonts w:ascii="Times" w:hAnsi="Times"/>
        </w:rPr>
      </w:pPr>
    </w:p>
    <w:p w14:paraId="703CCB02" w14:textId="77777777" w:rsidR="00EA6ABD" w:rsidRPr="00864324" w:rsidRDefault="00EA6ABD" w:rsidP="00EA6ABD">
      <w:pPr>
        <w:pStyle w:val="PlainText"/>
        <w:jc w:val="center"/>
        <w:rPr>
          <w:rFonts w:ascii="Times" w:hAnsi="Times"/>
        </w:rPr>
      </w:pPr>
    </w:p>
    <w:p w14:paraId="6744EE41" w14:textId="77777777" w:rsidR="00EA6ABD" w:rsidRPr="00864324" w:rsidRDefault="00EA6ABD" w:rsidP="00EA6ABD">
      <w:pPr>
        <w:pStyle w:val="PlainText"/>
        <w:jc w:val="center"/>
        <w:rPr>
          <w:rFonts w:ascii="Times" w:hAnsi="Times"/>
        </w:rPr>
      </w:pPr>
      <w:r w:rsidRPr="00864324">
        <w:rPr>
          <w:rFonts w:ascii="Times" w:hAnsi="Times"/>
        </w:rPr>
        <w:t>http://www.ligo.caltech.edu/</w:t>
      </w:r>
    </w:p>
    <w:p w14:paraId="5A752E6B" w14:textId="77777777" w:rsidR="00EA6ABD" w:rsidRPr="00864324" w:rsidRDefault="00EA6ABD" w:rsidP="00EA6ABD">
      <w:pPr>
        <w:jc w:val="right"/>
        <w:rPr>
          <w:rFonts w:ascii="Times" w:hAnsi="Times"/>
        </w:rPr>
      </w:pPr>
      <w:r w:rsidRPr="00864324">
        <w:rPr>
          <w:rFonts w:ascii="Times" w:hAnsi="Times"/>
        </w:rPr>
        <w:br w:type="page"/>
      </w:r>
    </w:p>
    <w:p w14:paraId="5C82B3E8" w14:textId="77777777" w:rsidR="00EA6ABD" w:rsidRPr="00B87454" w:rsidRDefault="00EA6ABD" w:rsidP="00EA6ABD">
      <w:pPr>
        <w:spacing w:line="240" w:lineRule="auto"/>
        <w:rPr>
          <w:b/>
          <w:bCs/>
        </w:rPr>
      </w:pPr>
    </w:p>
    <w:p w14:paraId="1D3CC0D9" w14:textId="77777777" w:rsidR="00EA6ABD" w:rsidRDefault="00EA6ABD" w:rsidP="00EA6ABD">
      <w:pPr>
        <w:pStyle w:val="Heading1"/>
        <w:numPr>
          <w:ilvl w:val="0"/>
          <w:numId w:val="2"/>
        </w:numPr>
      </w:pPr>
      <w:r>
        <w:t>Introduction</w:t>
      </w:r>
    </w:p>
    <w:p w14:paraId="3EBEF815" w14:textId="5CE3ECFC" w:rsidR="00EA6ABD" w:rsidRDefault="00EA6ABD" w:rsidP="00EA6ABD">
      <w:r w:rsidRPr="00D831B3">
        <w:t xml:space="preserve">This document is the Standard Operating Procedure (SOP) for </w:t>
      </w:r>
      <w:r w:rsidR="002E06C2">
        <w:t xml:space="preserve">780 nm, 45 </w:t>
      </w:r>
      <w:proofErr w:type="spellStart"/>
      <w:r w:rsidR="002E06C2">
        <w:t>mW</w:t>
      </w:r>
      <w:proofErr w:type="spellEnd"/>
      <w:r w:rsidR="002E06C2">
        <w:t xml:space="preserve"> DBR Butterfly Laser with Isolator, PM Fiber</w:t>
      </w:r>
      <w:r w:rsidR="002E06C2">
        <w:t>,</w:t>
      </w:r>
      <w:r>
        <w:t xml:space="preserve"> in West Bridge B102. </w:t>
      </w:r>
      <w:r w:rsidRPr="00D831B3">
        <w:t>Th</w:t>
      </w:r>
      <w:r>
        <w:t>is</w:t>
      </w:r>
      <w:r w:rsidRPr="00D831B3">
        <w:t xml:space="preserve"> laser is used </w:t>
      </w:r>
      <w:r w:rsidR="002E06C2">
        <w:t>to lock to a Rb vapor cell for the RBQ experiment.</w:t>
      </w:r>
    </w:p>
    <w:p w14:paraId="0F5166FD" w14:textId="17BBCDE5" w:rsidR="002E06C2" w:rsidRDefault="002E06C2" w:rsidP="002E06C2">
      <w:r>
        <w:t>Thorlabs' DBR780PN Distributed Bragg Reflector (DBR) laser is a single-frequency laser diode that is</w:t>
      </w:r>
      <w:r>
        <w:t xml:space="preserve"> </w:t>
      </w:r>
      <w:r>
        <w:t>well-suited as a low-noise pump source for a rubidium atomic clock.</w:t>
      </w:r>
    </w:p>
    <w:p w14:paraId="3548F0A2" w14:textId="76688181" w:rsidR="002E06C2" w:rsidRPr="00D831B3" w:rsidRDefault="002E06C2" w:rsidP="002E06C2">
      <w:r>
        <w:t xml:space="preserve">This laser is a Class 3B laser outputting 45 </w:t>
      </w:r>
      <w:proofErr w:type="spellStart"/>
      <w:r>
        <w:t>mW</w:t>
      </w:r>
      <w:proofErr w:type="spellEnd"/>
      <w:r>
        <w:t xml:space="preserve"> max at 780 nm. </w:t>
      </w:r>
      <w:r w:rsidRPr="002E06C2">
        <w:t>Direct eye exposure to Class 3B lasers is hazardous</w:t>
      </w:r>
      <w:r>
        <w:t xml:space="preserve">. </w:t>
      </w:r>
      <w:r w:rsidRPr="002E06C2">
        <w:t>Direct exposure to skin is a potential hazard.</w:t>
      </w:r>
    </w:p>
    <w:p w14:paraId="151DDC8A" w14:textId="77777777" w:rsidR="00EA6ABD" w:rsidRDefault="00EA6ABD" w:rsidP="00EA6ABD">
      <w:pPr>
        <w:pStyle w:val="Heading2"/>
        <w:numPr>
          <w:ilvl w:val="1"/>
          <w:numId w:val="2"/>
        </w:numPr>
      </w:pPr>
      <w:r>
        <w:t>Room B102</w:t>
      </w:r>
    </w:p>
    <w:p w14:paraId="35A24A16" w14:textId="03BD322D" w:rsidR="00EA6ABD" w:rsidRDefault="00EA6ABD" w:rsidP="00EA6ABD">
      <w:pPr>
        <w:rPr>
          <w:color w:val="FF0000"/>
        </w:rPr>
      </w:pPr>
      <w:r>
        <w:t xml:space="preserve">The floor plan of Room B102 is </w:t>
      </w:r>
      <w:r w:rsidRPr="00D831B3">
        <w:t xml:space="preserve">shown in </w:t>
      </w:r>
      <w:r w:rsidRPr="00D831B3">
        <w:fldChar w:fldCharType="begin"/>
      </w:r>
      <w:r w:rsidRPr="00D831B3">
        <w:instrText xml:space="preserve"> REF _Ref332120143 \h </w:instrText>
      </w:r>
      <w:r w:rsidRPr="00D831B3">
        <w:fldChar w:fldCharType="separate"/>
      </w:r>
      <w:r w:rsidR="00C70F3E">
        <w:t xml:space="preserve">Figure </w:t>
      </w:r>
      <w:r w:rsidR="00C70F3E">
        <w:rPr>
          <w:noProof/>
        </w:rPr>
        <w:t>1</w:t>
      </w:r>
      <w:r w:rsidRPr="00D831B3">
        <w:fldChar w:fldCharType="end"/>
      </w:r>
      <w:r w:rsidRPr="00D831B3">
        <w:t xml:space="preserve">. </w:t>
      </w:r>
      <w:r w:rsidRPr="00A24CF6">
        <w:rPr>
          <w:b/>
          <w:bCs/>
        </w:rPr>
        <w:t>The area indicated by hatching is the Nominal Hazard Zone.</w:t>
      </w:r>
      <w:r>
        <w:t xml:space="preserve"> The area between the laser safety barrier and the entrance door is</w:t>
      </w:r>
      <w:r>
        <w:rPr>
          <w:lang w:eastAsia="ja-JP"/>
        </w:rPr>
        <w:t xml:space="preserve"> </w:t>
      </w:r>
      <w:r>
        <w:t>non-hazard area that is designated for storing and donning laser safety glasses.</w:t>
      </w:r>
      <w:r w:rsidRPr="005B0672">
        <w:rPr>
          <w:noProof/>
        </w:rPr>
        <w:t xml:space="preserve"> </w:t>
      </w:r>
      <w:r>
        <w:rPr>
          <w:noProof/>
        </w:rPr>
        <w:drawing>
          <wp:inline distT="0" distB="0" distL="0" distR="0" wp14:anchorId="0ECFED2F" wp14:editId="4ED50945">
            <wp:extent cx="6395085" cy="4665980"/>
            <wp:effectExtent l="0" t="0" r="5715" b="1270"/>
            <wp:docPr id="11" name="Picture 11" descr="A computer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computer screen 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085" cy="466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1116C" w14:textId="7D7E3F0D" w:rsidR="00EA6ABD" w:rsidRDefault="00EA6ABD" w:rsidP="00EA6ABD">
      <w:pPr>
        <w:pStyle w:val="Caption"/>
        <w:jc w:val="center"/>
      </w:pPr>
      <w:bookmarkStart w:id="1" w:name="_Ref332120143"/>
      <w:r>
        <w:t xml:space="preserve">Figure </w:t>
      </w:r>
      <w:r>
        <w:rPr>
          <w:noProof/>
        </w:rPr>
        <w:fldChar w:fldCharType="begin"/>
      </w:r>
      <w:r>
        <w:rPr>
          <w:noProof/>
        </w:rPr>
        <w:instrText xml:space="preserve"> SEQ Figure \* ARABIC </w:instrText>
      </w:r>
      <w:r>
        <w:rPr>
          <w:noProof/>
        </w:rPr>
        <w:fldChar w:fldCharType="separate"/>
      </w:r>
      <w:r w:rsidR="00C70F3E">
        <w:rPr>
          <w:noProof/>
        </w:rPr>
        <w:t>1</w:t>
      </w:r>
      <w:r>
        <w:rPr>
          <w:noProof/>
        </w:rPr>
        <w:fldChar w:fldCharType="end"/>
      </w:r>
      <w:bookmarkEnd w:id="1"/>
      <w:r>
        <w:t>.  The floor plan for Room B102.</w:t>
      </w:r>
    </w:p>
    <w:p w14:paraId="7A06377E" w14:textId="77777777" w:rsidR="00EA6ABD" w:rsidRDefault="00EA6ABD" w:rsidP="00EA6ABD">
      <w:pPr>
        <w:pStyle w:val="Heading1"/>
        <w:numPr>
          <w:ilvl w:val="0"/>
          <w:numId w:val="2"/>
        </w:numPr>
      </w:pPr>
      <w:r>
        <w:lastRenderedPageBreak/>
        <w:t>Hazards</w:t>
      </w:r>
      <w:r w:rsidRPr="004D4B05">
        <w:t xml:space="preserve"> </w:t>
      </w:r>
    </w:p>
    <w:p w14:paraId="5B8BE61E" w14:textId="77777777" w:rsidR="00EA6ABD" w:rsidRPr="004D4B05" w:rsidRDefault="00EA6ABD" w:rsidP="00EA6ABD">
      <w:pPr>
        <w:pStyle w:val="Heading2"/>
        <w:numPr>
          <w:ilvl w:val="1"/>
          <w:numId w:val="2"/>
        </w:numPr>
      </w:pPr>
      <w:r>
        <w:t xml:space="preserve">Laser </w:t>
      </w:r>
      <w:r w:rsidRPr="004D4B05">
        <w:t>Radiation Hazards</w:t>
      </w:r>
    </w:p>
    <w:p w14:paraId="2107E4CB" w14:textId="77777777" w:rsidR="00EA6ABD" w:rsidRPr="00D831B3" w:rsidRDefault="00EA6ABD" w:rsidP="00EA6ABD">
      <w:r>
        <w:t xml:space="preserve">The FBG </w:t>
      </w:r>
      <w:r w:rsidRPr="00D831B3">
        <w:t xml:space="preserve">laser is an infrared laser and is invisible to the naked eye.  The output power of this laser </w:t>
      </w:r>
      <w:r>
        <w:t>alone can be operated</w:t>
      </w:r>
      <w:r w:rsidRPr="00D831B3">
        <w:t xml:space="preserve"> above the accessible emission limit (AEL) of 1.9 </w:t>
      </w:r>
      <w:proofErr w:type="spellStart"/>
      <w:r w:rsidRPr="00D831B3">
        <w:t>mW</w:t>
      </w:r>
      <w:proofErr w:type="spellEnd"/>
      <w:r w:rsidRPr="00D831B3">
        <w:t xml:space="preserve"> and 96 </w:t>
      </w:r>
      <w:proofErr w:type="spellStart"/>
      <w:r w:rsidRPr="00D831B3">
        <w:t>mW</w:t>
      </w:r>
      <w:proofErr w:type="spellEnd"/>
      <w:r w:rsidRPr="00D831B3">
        <w:t xml:space="preserve"> for both eye and skin respectively. </w:t>
      </w:r>
      <w:r>
        <w:t>With the amplifier in use, the output can be operated at well above the AEL. Extreme caution should be taken when operating the laser with the amplifier.</w:t>
      </w:r>
    </w:p>
    <w:p w14:paraId="46E0F5B2" w14:textId="77777777" w:rsidR="00EA6ABD" w:rsidRDefault="00EA6ABD" w:rsidP="00EA6ABD">
      <w:pPr>
        <w:pStyle w:val="Heading2"/>
        <w:numPr>
          <w:ilvl w:val="1"/>
          <w:numId w:val="2"/>
        </w:numPr>
      </w:pPr>
      <w:r>
        <w:t>Electrical Hazards</w:t>
      </w:r>
    </w:p>
    <w:p w14:paraId="3F3E7F1D" w14:textId="4A5F04E5" w:rsidR="00EA6ABD" w:rsidRDefault="00EA6ABD" w:rsidP="00EA6ABD">
      <w:r>
        <w:t xml:space="preserve">The system is powered using </w:t>
      </w:r>
      <w:r w:rsidR="00D86F78">
        <w:t>the recommended 2 V and .250 A for the operating voltage/amperage respectively.</w:t>
      </w:r>
      <w:r>
        <w:t xml:space="preserve"> There are no electrical hazards when operating the laser.</w:t>
      </w:r>
    </w:p>
    <w:p w14:paraId="36329269" w14:textId="77777777" w:rsidR="00EA6ABD" w:rsidRDefault="00EA6ABD" w:rsidP="00EA6ABD">
      <w:pPr>
        <w:pStyle w:val="Heading1"/>
        <w:numPr>
          <w:ilvl w:val="0"/>
          <w:numId w:val="2"/>
        </w:numPr>
      </w:pPr>
      <w:r>
        <w:t>Hazard Controls</w:t>
      </w:r>
    </w:p>
    <w:p w14:paraId="4D279CB0" w14:textId="77777777" w:rsidR="00EA6ABD" w:rsidRPr="00046D81" w:rsidRDefault="00EA6ABD" w:rsidP="00EA6ABD">
      <w:pPr>
        <w:pStyle w:val="Heading2"/>
        <w:numPr>
          <w:ilvl w:val="1"/>
          <w:numId w:val="2"/>
        </w:numPr>
      </w:pPr>
      <w:r>
        <w:t>Access Controls</w:t>
      </w:r>
    </w:p>
    <w:p w14:paraId="03B2DDEA" w14:textId="77777777" w:rsidR="00EA6ABD" w:rsidRDefault="00EA6ABD" w:rsidP="00EA6ABD">
      <w:r>
        <w:t>There are no active access controls to West Bridge Room B102.</w:t>
      </w:r>
    </w:p>
    <w:p w14:paraId="7FF8028A" w14:textId="77777777" w:rsidR="00EA6ABD" w:rsidRDefault="00EA6ABD" w:rsidP="00EA6ABD">
      <w:pPr>
        <w:pStyle w:val="Heading2"/>
        <w:numPr>
          <w:ilvl w:val="1"/>
          <w:numId w:val="2"/>
        </w:numPr>
      </w:pPr>
      <w:r>
        <w:t>Beam Controls</w:t>
      </w:r>
    </w:p>
    <w:p w14:paraId="68867299" w14:textId="77777777" w:rsidR="00EA6ABD" w:rsidRDefault="00EA6ABD" w:rsidP="00EA6ABD">
      <w:r>
        <w:t xml:space="preserve">There is a Laser Enable </w:t>
      </w:r>
      <w:proofErr w:type="spellStart"/>
      <w:r>
        <w:t>PushButton</w:t>
      </w:r>
      <w:proofErr w:type="spellEnd"/>
      <w:r>
        <w:t xml:space="preserve"> Switch that be used to shutter the laser. The laser will </w:t>
      </w:r>
      <w:proofErr w:type="gramStart"/>
      <w:r>
        <w:t>remain on at all times</w:t>
      </w:r>
      <w:proofErr w:type="gramEnd"/>
      <w:r>
        <w:t xml:space="preserve"> to increase the operating life length of the laser.</w:t>
      </w:r>
    </w:p>
    <w:p w14:paraId="5BDD5876" w14:textId="77777777" w:rsidR="00EA6ABD" w:rsidRPr="00171854" w:rsidRDefault="00EA6ABD" w:rsidP="00EA6ABD">
      <w:pPr>
        <w:pStyle w:val="Heading2"/>
        <w:numPr>
          <w:ilvl w:val="1"/>
          <w:numId w:val="2"/>
        </w:numPr>
      </w:pPr>
      <w:r>
        <w:t>Safety Sign</w:t>
      </w:r>
      <w:r w:rsidRPr="00171854">
        <w:rPr>
          <w:rFonts w:eastAsia="MS Mincho" w:cstheme="minorBidi"/>
          <w:color w:val="auto"/>
          <w:sz w:val="22"/>
          <w:szCs w:val="22"/>
        </w:rPr>
        <w:t xml:space="preserve"> </w:t>
      </w:r>
    </w:p>
    <w:p w14:paraId="559782CE" w14:textId="77777777" w:rsidR="00EA6ABD" w:rsidRPr="00171854" w:rsidRDefault="00EA6ABD" w:rsidP="00EA6ABD">
      <w:pPr>
        <w:pStyle w:val="Heading2"/>
        <w:rPr>
          <w:color w:val="auto"/>
          <w:sz w:val="22"/>
          <w:szCs w:val="22"/>
        </w:rPr>
      </w:pPr>
      <w:r w:rsidRPr="00171854">
        <w:rPr>
          <w:color w:val="auto"/>
          <w:sz w:val="22"/>
          <w:szCs w:val="22"/>
        </w:rPr>
        <w:t xml:space="preserve">A laser hazard indicator sign is located at the outside of the room. Whenever there is a possibility to use the laser beam for a task, this sign should be turned on by a switch next to the entrance door. </w:t>
      </w:r>
    </w:p>
    <w:p w14:paraId="3081EDCE" w14:textId="77777777" w:rsidR="00EA6ABD" w:rsidRPr="00953644" w:rsidRDefault="00EA6ABD" w:rsidP="00EA6ABD">
      <w:pPr>
        <w:pStyle w:val="Heading2"/>
        <w:numPr>
          <w:ilvl w:val="1"/>
          <w:numId w:val="2"/>
        </w:numPr>
      </w:pPr>
      <w:r>
        <w:t>Laser Safety Eyewear</w:t>
      </w:r>
    </w:p>
    <w:p w14:paraId="038CD0EE" w14:textId="77777777" w:rsidR="00EA6ABD" w:rsidRDefault="00EA6ABD" w:rsidP="00EA6ABD">
      <w:pPr>
        <w:rPr>
          <w:rFonts w:ascii="Arial" w:hAnsi="Arial" w:cs="Arial"/>
          <w:color w:val="000000"/>
          <w:shd w:val="clear" w:color="auto" w:fill="FFFFFF"/>
        </w:rPr>
      </w:pPr>
      <w:r>
        <w:t xml:space="preserve">The use of laser </w:t>
      </w:r>
      <w:r w:rsidRPr="00D831B3">
        <w:t>safety eyewear is mandatory whenever the laser power supply is energized.  A minimum optical density (OD) of +3 at 1</w:t>
      </w:r>
      <w:r>
        <w:t>550</w:t>
      </w:r>
      <w:r w:rsidRPr="00D831B3">
        <w:t xml:space="preserve"> nm is required.</w:t>
      </w:r>
      <w:r>
        <w:t xml:space="preserve"> When the amplifier is introduced a minimum of </w:t>
      </w:r>
      <w:r>
        <w:rPr>
          <w:rFonts w:ascii="Arial" w:hAnsi="Arial" w:cs="Arial"/>
          <w:color w:val="000000"/>
          <w:shd w:val="clear" w:color="auto" w:fill="FFFFFF"/>
        </w:rPr>
        <w:t>OD 7+ 1550nm is required. C2KG5 laser safety goggles are stored in the entrance area. These goggles have filtering at the following wavelengths:</w:t>
      </w:r>
    </w:p>
    <w:p w14:paraId="4C37ECD0" w14:textId="77777777" w:rsidR="00EA6ABD" w:rsidRDefault="00EA6ABD" w:rsidP="00EA6ABD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OD 6+ @530-570nm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OD 4+ @655-664nm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OD 5+ @665-679nm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OD 6+ @680-695nm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OD 7+ @696-1550nm</w:t>
      </w:r>
    </w:p>
    <w:p w14:paraId="1884C3CD" w14:textId="77777777" w:rsidR="00EA6ABD" w:rsidRPr="00D831B3" w:rsidRDefault="00EA6ABD" w:rsidP="00EA6ABD">
      <w:r>
        <w:rPr>
          <w:rFonts w:ascii="Arial" w:hAnsi="Arial" w:cs="Arial"/>
          <w:color w:val="000000"/>
          <w:shd w:val="clear" w:color="auto" w:fill="FFFFFF"/>
        </w:rPr>
        <w:t>Always double check the listed filtering on the side of the goggles before entering the laser hazard area.</w:t>
      </w:r>
    </w:p>
    <w:p w14:paraId="385859F4" w14:textId="77777777" w:rsidR="00EA6ABD" w:rsidRPr="00B2457E" w:rsidRDefault="00EA6ABD" w:rsidP="00EA6ABD">
      <w:pPr>
        <w:pStyle w:val="Heading2"/>
        <w:numPr>
          <w:ilvl w:val="1"/>
          <w:numId w:val="2"/>
        </w:numPr>
      </w:pPr>
      <w:r>
        <w:lastRenderedPageBreak/>
        <w:t>Handling of the optical fiber</w:t>
      </w:r>
    </w:p>
    <w:p w14:paraId="307FAE3F" w14:textId="041AB0D2" w:rsidR="00EA6ABD" w:rsidRPr="00D831B3" w:rsidRDefault="00EA6ABD" w:rsidP="00EA6ABD">
      <w:r w:rsidRPr="00D831B3">
        <w:t xml:space="preserve">The laser source </w:t>
      </w:r>
      <w:r>
        <w:t xml:space="preserve">output is a PM, FC/APC Bulkhead optical fiber. This will initially be connected to a fiber coupler, where the max output of this fiber is 45 </w:t>
      </w:r>
      <w:proofErr w:type="spellStart"/>
      <w:r>
        <w:t>mW</w:t>
      </w:r>
      <w:proofErr w:type="spellEnd"/>
      <w:r>
        <w:t xml:space="preserve">. The laser source should be turned off when handling the output fiber. </w:t>
      </w:r>
    </w:p>
    <w:p w14:paraId="2D4C811A" w14:textId="77777777" w:rsidR="00EA6ABD" w:rsidRDefault="00EA6ABD" w:rsidP="00EA6ABD">
      <w:pPr>
        <w:pStyle w:val="Heading1"/>
        <w:numPr>
          <w:ilvl w:val="0"/>
          <w:numId w:val="2"/>
        </w:numPr>
      </w:pPr>
      <w:r>
        <w:t>Training</w:t>
      </w:r>
    </w:p>
    <w:p w14:paraId="6B019098" w14:textId="2C7DB272" w:rsidR="00EA6ABD" w:rsidRDefault="00EA6ABD" w:rsidP="00EA6ABD">
      <w:r>
        <w:t xml:space="preserve">Users of </w:t>
      </w:r>
      <w:r w:rsidR="00D86F78">
        <w:t>any laser</w:t>
      </w:r>
      <w:r>
        <w:t xml:space="preserve"> should have received the LIGO Project’s basic laser safety training. They are not permitted to operate the laser by themselves until they have received this training.</w:t>
      </w:r>
    </w:p>
    <w:p w14:paraId="3615025E" w14:textId="77777777" w:rsidR="00EA6ABD" w:rsidRDefault="00EA6ABD" w:rsidP="00EA6ABD">
      <w:pPr>
        <w:pStyle w:val="Heading1"/>
        <w:numPr>
          <w:ilvl w:val="0"/>
          <w:numId w:val="2"/>
        </w:numPr>
      </w:pPr>
      <w:r>
        <w:t>Operating Procedures</w:t>
      </w:r>
    </w:p>
    <w:p w14:paraId="5F08A065" w14:textId="77777777" w:rsidR="00EA6ABD" w:rsidRDefault="00EA6ABD" w:rsidP="00EA6ABD">
      <w:r>
        <w:t>Items such as jewelry and watches should not be worn while manipulating beams on the optical table.</w:t>
      </w:r>
    </w:p>
    <w:p w14:paraId="68FE3122" w14:textId="77777777" w:rsidR="00EA6ABD" w:rsidRPr="00BD3F76" w:rsidRDefault="00EA6ABD" w:rsidP="00EA6ABD">
      <w:r>
        <w:t>Caution should be exercised when one’s head passes through the plane of the laser beam.</w:t>
      </w:r>
    </w:p>
    <w:p w14:paraId="7AAFDB83" w14:textId="77777777" w:rsidR="00EA6ABD" w:rsidRDefault="00EA6ABD" w:rsidP="00EA6ABD">
      <w:r>
        <w:t xml:space="preserve">Prior to turning on the laser or enabling via the Laser Enable </w:t>
      </w:r>
      <w:proofErr w:type="spellStart"/>
      <w:r>
        <w:t>PushButton</w:t>
      </w:r>
      <w:proofErr w:type="spellEnd"/>
      <w:r>
        <w:t xml:space="preserve"> Switch:</w:t>
      </w:r>
    </w:p>
    <w:p w14:paraId="47851B96" w14:textId="77777777" w:rsidR="00EA6ABD" w:rsidRDefault="00EA6ABD" w:rsidP="00EA6ABD">
      <w:pPr>
        <w:pStyle w:val="ListParagraph"/>
        <w:numPr>
          <w:ilvl w:val="0"/>
          <w:numId w:val="2"/>
        </w:numPr>
      </w:pPr>
      <w:r>
        <w:t xml:space="preserve">check the beam path to ensure that there are no reflective objects in the beam path that may unintentionally deflect the </w:t>
      </w:r>
      <w:proofErr w:type="gramStart"/>
      <w:r>
        <w:t>beam</w:t>
      </w:r>
      <w:proofErr w:type="gramEnd"/>
    </w:p>
    <w:p w14:paraId="58803204" w14:textId="77777777" w:rsidR="00EA6ABD" w:rsidRDefault="00EA6ABD" w:rsidP="00EA6ABD">
      <w:pPr>
        <w:pStyle w:val="ListParagraph"/>
        <w:numPr>
          <w:ilvl w:val="0"/>
          <w:numId w:val="2"/>
        </w:numPr>
      </w:pPr>
      <w:r>
        <w:t xml:space="preserve">alert any personnel in the room that the laser is about to be operated and ensure that everyone is wearing the appropriate laser safety </w:t>
      </w:r>
      <w:proofErr w:type="gramStart"/>
      <w:r>
        <w:t>eyewear</w:t>
      </w:r>
      <w:proofErr w:type="gramEnd"/>
    </w:p>
    <w:p w14:paraId="490BAC34" w14:textId="77777777" w:rsidR="00EA6ABD" w:rsidRDefault="00EA6ABD" w:rsidP="00EA6ABD">
      <w:pPr>
        <w:pStyle w:val="ListParagraph"/>
        <w:numPr>
          <w:ilvl w:val="0"/>
          <w:numId w:val="2"/>
        </w:numPr>
      </w:pPr>
      <w:r>
        <w:t xml:space="preserve">check that the laser warning sign is </w:t>
      </w:r>
      <w:proofErr w:type="gramStart"/>
      <w:r>
        <w:t>illuminated</w:t>
      </w:r>
      <w:proofErr w:type="gramEnd"/>
    </w:p>
    <w:p w14:paraId="5FDA1E2E" w14:textId="77777777" w:rsidR="00EA6ABD" w:rsidRDefault="00EA6ABD" w:rsidP="00EA6ABD">
      <w:r>
        <w:t>Prior to turning off the laser, placing the laser in standby or close the shutter:</w:t>
      </w:r>
    </w:p>
    <w:p w14:paraId="4DC4BC01" w14:textId="1D69CEC9" w:rsidR="00EA6ABD" w:rsidRDefault="00EA6ABD" w:rsidP="00EA6ABD">
      <w:pPr>
        <w:pStyle w:val="ListParagraph"/>
        <w:numPr>
          <w:ilvl w:val="0"/>
          <w:numId w:val="3"/>
        </w:numPr>
      </w:pPr>
      <w:r>
        <w:t xml:space="preserve">scan the optical table for any stray beams and correct the situation as </w:t>
      </w:r>
      <w:r>
        <w:t>necessary.</w:t>
      </w:r>
    </w:p>
    <w:p w14:paraId="0F6D3E6B" w14:textId="77777777" w:rsidR="00EA6ABD" w:rsidRDefault="00EA6ABD" w:rsidP="00EA6ABD">
      <w:pPr>
        <w:pStyle w:val="Heading1"/>
        <w:numPr>
          <w:ilvl w:val="0"/>
          <w:numId w:val="2"/>
        </w:numPr>
      </w:pPr>
      <w:r>
        <w:t>Emergency Procedures</w:t>
      </w:r>
    </w:p>
    <w:p w14:paraId="6D00505B" w14:textId="77777777" w:rsidR="00EA6ABD" w:rsidRDefault="00EA6ABD" w:rsidP="00EA6ABD">
      <w:r>
        <w:t>In case of an emergency, call x5000.</w:t>
      </w:r>
    </w:p>
    <w:p w14:paraId="75A7A13B" w14:textId="77777777" w:rsidR="00F461E8" w:rsidRDefault="00F461E8"/>
    <w:sectPr w:rsidR="00F461E8" w:rsidSect="00EA6ABD">
      <w:headerReference w:type="default" r:id="rId8"/>
      <w:footerReference w:type="default" r:id="rId9"/>
      <w:headerReference w:type="first" r:id="rId10"/>
      <w:pgSz w:w="12240" w:h="15840"/>
      <w:pgMar w:top="1080" w:right="1080" w:bottom="108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0E7CD" w14:textId="77777777" w:rsidR="00C0531A" w:rsidRDefault="00C0531A" w:rsidP="00EA6ABD">
      <w:pPr>
        <w:spacing w:after="0" w:line="240" w:lineRule="auto"/>
      </w:pPr>
      <w:r>
        <w:separator/>
      </w:r>
    </w:p>
  </w:endnote>
  <w:endnote w:type="continuationSeparator" w:id="0">
    <w:p w14:paraId="367FA3C4" w14:textId="77777777" w:rsidR="00C0531A" w:rsidRDefault="00C0531A" w:rsidP="00EA6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95532"/>
      <w:docPartObj>
        <w:docPartGallery w:val="Page Numbers (Bottom of Page)"/>
        <w:docPartUnique/>
      </w:docPartObj>
    </w:sdtPr>
    <w:sdtContent>
      <w:p w14:paraId="57D62931" w14:textId="77777777" w:rsidR="0000000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F72853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4D975" w14:textId="77777777" w:rsidR="00C0531A" w:rsidRDefault="00C0531A" w:rsidP="00EA6ABD">
      <w:pPr>
        <w:spacing w:after="0" w:line="240" w:lineRule="auto"/>
      </w:pPr>
      <w:r>
        <w:separator/>
      </w:r>
    </w:p>
  </w:footnote>
  <w:footnote w:type="continuationSeparator" w:id="0">
    <w:p w14:paraId="017A4214" w14:textId="77777777" w:rsidR="00C0531A" w:rsidRDefault="00C0531A" w:rsidP="00EA6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F131F" w14:textId="75801C92" w:rsidR="00000000" w:rsidRDefault="00000000" w:rsidP="00586A0A">
    <w:pPr>
      <w:pStyle w:val="Header"/>
      <w:rPr>
        <w:rFonts w:ascii="Arial" w:hAnsi="Arial" w:cs="Arial"/>
        <w:b/>
        <w:bCs/>
        <w:color w:val="000000"/>
        <w:sz w:val="27"/>
        <w:szCs w:val="27"/>
        <w:shd w:val="clear" w:color="auto" w:fill="DDEEFF"/>
      </w:rPr>
    </w:pPr>
    <w:r>
      <w:rPr>
        <w:i/>
      </w:rPr>
      <w:t>LIGO</w:t>
    </w:r>
    <w:r>
      <w:tab/>
    </w:r>
    <w:r w:rsidR="00EA6ABD" w:rsidRPr="00EA6ABD">
      <w:rPr>
        <w:rFonts w:ascii="Arial" w:hAnsi="Arial" w:cs="Arial"/>
        <w:b/>
        <w:bCs/>
        <w:color w:val="000000"/>
        <w:sz w:val="27"/>
        <w:szCs w:val="27"/>
        <w:shd w:val="clear" w:color="auto" w:fill="DDEEFF"/>
      </w:rPr>
      <w:t>M2400206</w:t>
    </w:r>
    <w:r>
      <w:rPr>
        <w:rFonts w:ascii="Arial" w:hAnsi="Arial" w:cs="Arial"/>
        <w:b/>
        <w:bCs/>
        <w:color w:val="000000"/>
        <w:sz w:val="27"/>
        <w:szCs w:val="27"/>
        <w:shd w:val="clear" w:color="auto" w:fill="DDEEFF"/>
      </w:rPr>
      <w:t>-v1</w:t>
    </w:r>
  </w:p>
  <w:p w14:paraId="555D82F2" w14:textId="77777777" w:rsidR="00000000" w:rsidRDefault="00000000" w:rsidP="00586A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96"/>
      <w:gridCol w:w="8084"/>
    </w:tblGrid>
    <w:tr w:rsidR="007F3DC1" w14:paraId="53F051AC" w14:textId="77777777" w:rsidTr="008C2436">
      <w:tc>
        <w:tcPr>
          <w:tcW w:w="1998" w:type="dxa"/>
        </w:tcPr>
        <w:p w14:paraId="39D205D6" w14:textId="77777777" w:rsidR="00000000" w:rsidRDefault="00000000" w:rsidP="008C2436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7A50EB6" wp14:editId="223239DB">
                <wp:extent cx="1085850" cy="762000"/>
                <wp:effectExtent l="19050" t="0" r="0" b="0"/>
                <wp:docPr id="2" name="Picture 0" descr="ligo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gologo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8" w:type="dxa"/>
        </w:tcPr>
        <w:p w14:paraId="4936BCA8" w14:textId="77777777" w:rsidR="00000000" w:rsidRPr="008540E9" w:rsidRDefault="00000000" w:rsidP="008C2436">
          <w:pPr>
            <w:pStyle w:val="Header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LASER INTERFEROMETER GRAVITATIONAL WAVE OBSERVATORY</w:t>
          </w:r>
        </w:p>
      </w:tc>
    </w:tr>
  </w:tbl>
  <w:p w14:paraId="457A08C1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10C63"/>
    <w:multiLevelType w:val="hybridMultilevel"/>
    <w:tmpl w:val="E8E8D4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B27BE"/>
    <w:multiLevelType w:val="multilevel"/>
    <w:tmpl w:val="C9DA5B30"/>
    <w:styleLink w:val="Headings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firstLine="0"/>
      </w:pPr>
      <w:rPr>
        <w:rFonts w:hint="default"/>
      </w:rPr>
    </w:lvl>
  </w:abstractNum>
  <w:abstractNum w:abstractNumId="2" w15:restartNumberingAfterBreak="0">
    <w:nsid w:val="5B435571"/>
    <w:multiLevelType w:val="hybridMultilevel"/>
    <w:tmpl w:val="468254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453379">
    <w:abstractNumId w:val="1"/>
  </w:num>
  <w:num w:numId="2" w16cid:durableId="1017997679">
    <w:abstractNumId w:val="0"/>
  </w:num>
  <w:num w:numId="3" w16cid:durableId="832138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BD"/>
    <w:rsid w:val="00231189"/>
    <w:rsid w:val="002E06C2"/>
    <w:rsid w:val="00C0531A"/>
    <w:rsid w:val="00C70F3E"/>
    <w:rsid w:val="00D86F78"/>
    <w:rsid w:val="00EA6ABD"/>
    <w:rsid w:val="00F4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F1E21"/>
  <w15:chartTrackingRefBased/>
  <w15:docId w15:val="{F86A7502-8F66-44A6-A23F-C9681EAD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ABD"/>
    <w:pPr>
      <w:spacing w:after="200" w:line="276" w:lineRule="auto"/>
    </w:pPr>
    <w:rPr>
      <w:rFonts w:ascii="Helvetica" w:eastAsia="MS Mincho" w:hAnsi="Helvetic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6A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6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6A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A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A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A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A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A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A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A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A6A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A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A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A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A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A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A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A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A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A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A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A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A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A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A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A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AB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A6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ABD"/>
    <w:rPr>
      <w:rFonts w:ascii="Helvetica" w:eastAsia="MS Mincho" w:hAnsi="Helvetic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6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ABD"/>
    <w:rPr>
      <w:rFonts w:ascii="Helvetica" w:eastAsia="MS Mincho" w:hAnsi="Helvetica"/>
      <w:kern w:val="0"/>
      <w14:ligatures w14:val="none"/>
    </w:rPr>
  </w:style>
  <w:style w:type="table" w:styleId="TableGrid">
    <w:name w:val="Table Grid"/>
    <w:basedOn w:val="TableNormal"/>
    <w:uiPriority w:val="59"/>
    <w:rsid w:val="00EA6ABD"/>
    <w:pPr>
      <w:spacing w:after="0" w:line="240" w:lineRule="auto"/>
    </w:pPr>
    <w:rPr>
      <w:rFonts w:ascii="Helvetica" w:eastAsia="MS Mincho" w:hAnsi="Helvetica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Headings">
    <w:name w:val="Headings"/>
    <w:uiPriority w:val="99"/>
    <w:rsid w:val="00EA6ABD"/>
    <w:pPr>
      <w:numPr>
        <w:numId w:val="1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EA6ABD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styleId="PlainText">
    <w:name w:val="Plain Text"/>
    <w:link w:val="PlainTextChar"/>
    <w:rsid w:val="00EA6ABD"/>
    <w:pPr>
      <w:spacing w:before="120" w:after="0" w:line="240" w:lineRule="auto"/>
    </w:pPr>
    <w:rPr>
      <w:rFonts w:ascii="Helvetica" w:eastAsia="ヒラギノ角ゴ Pro W3" w:hAnsi="Helvetica" w:cs="Times New Roman"/>
      <w:color w:val="000000"/>
      <w:kern w:val="0"/>
      <w:sz w:val="24"/>
      <w:szCs w:val="20"/>
      <w14:ligatures w14:val="none"/>
    </w:rPr>
  </w:style>
  <w:style w:type="character" w:customStyle="1" w:styleId="PlainTextChar">
    <w:name w:val="Plain Text Char"/>
    <w:basedOn w:val="DefaultParagraphFont"/>
    <w:link w:val="PlainText"/>
    <w:rsid w:val="00EA6ABD"/>
    <w:rPr>
      <w:rFonts w:ascii="Helvetica" w:eastAsia="ヒラギノ角ゴ Pro W3" w:hAnsi="Helvetica" w:cs="Times New Roman"/>
      <w:color w:val="000000"/>
      <w:kern w:val="0"/>
      <w:sz w:val="24"/>
      <w:szCs w:val="20"/>
      <w14:ligatures w14:val="none"/>
    </w:rPr>
  </w:style>
  <w:style w:type="paragraph" w:styleId="BodyText">
    <w:name w:val="Body Text"/>
    <w:link w:val="BodyTextChar"/>
    <w:rsid w:val="00EA6ABD"/>
    <w:pPr>
      <w:spacing w:before="120" w:after="0" w:line="240" w:lineRule="auto"/>
      <w:jc w:val="center"/>
    </w:pPr>
    <w:rPr>
      <w:rFonts w:ascii="Helvetica" w:eastAsia="ヒラギノ角ゴ Pro W3" w:hAnsi="Helvetica" w:cs="Times New Roman"/>
      <w:color w:val="000000"/>
      <w:kern w:val="0"/>
      <w:sz w:val="4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EA6ABD"/>
    <w:rPr>
      <w:rFonts w:ascii="Helvetica" w:eastAsia="ヒラギノ角ゴ Pro W3" w:hAnsi="Helvetica" w:cs="Times New Roman"/>
      <w:color w:val="000000"/>
      <w:kern w:val="0"/>
      <w:sz w:val="4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Torrey Cullen</dc:creator>
  <cp:keywords/>
  <dc:description/>
  <cp:lastModifiedBy>Torrey Cullen</cp:lastModifiedBy>
  <cp:revision>2</cp:revision>
  <cp:lastPrinted>2024-07-01T21:07:00Z</cp:lastPrinted>
  <dcterms:created xsi:type="dcterms:W3CDTF">2024-07-01T20:38:00Z</dcterms:created>
  <dcterms:modified xsi:type="dcterms:W3CDTF">2024-07-01T21:07:00Z</dcterms:modified>
</cp:coreProperties>
</file>